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798AC" w14:textId="00194C99" w:rsidR="001E26C9" w:rsidRPr="001E26C9" w:rsidRDefault="001E26C9" w:rsidP="001E26C9">
      <w:pPr>
        <w:spacing w:after="0"/>
        <w:jc w:val="center"/>
        <w:rPr>
          <w:rFonts w:asciiTheme="minorHAnsi" w:hAnsiTheme="minorHAnsi"/>
          <w:b/>
          <w:bCs/>
          <w:sz w:val="36"/>
          <w:szCs w:val="36"/>
        </w:rPr>
      </w:pPr>
      <w:r w:rsidRPr="001E26C9">
        <w:rPr>
          <w:rFonts w:asciiTheme="minorHAnsi" w:hAnsiTheme="minorHAnsi"/>
          <w:b/>
          <w:bCs/>
          <w:sz w:val="36"/>
          <w:szCs w:val="36"/>
        </w:rPr>
        <w:t>WOMEN IN MUSIC AWARDS</w:t>
      </w:r>
    </w:p>
    <w:p w14:paraId="6F0D9A6C" w14:textId="3418BCAD" w:rsidR="001143CB" w:rsidRPr="001E26C9" w:rsidRDefault="001E26C9" w:rsidP="001E26C9">
      <w:pPr>
        <w:spacing w:after="0"/>
        <w:jc w:val="center"/>
        <w:rPr>
          <w:rFonts w:asciiTheme="minorHAnsi" w:hAnsiTheme="minorHAnsi"/>
          <w:b/>
          <w:bCs/>
          <w:sz w:val="28"/>
          <w:szCs w:val="28"/>
        </w:rPr>
      </w:pPr>
      <w:r w:rsidRPr="001E26C9">
        <w:rPr>
          <w:rFonts w:asciiTheme="minorHAnsi" w:hAnsiTheme="minorHAnsi"/>
          <w:b/>
          <w:bCs/>
          <w:sz w:val="28"/>
          <w:szCs w:val="28"/>
        </w:rPr>
        <w:t>I</w:t>
      </w:r>
      <w:r w:rsidR="002D5321" w:rsidRPr="001E26C9">
        <w:rPr>
          <w:rFonts w:asciiTheme="minorHAnsi" w:hAnsiTheme="minorHAnsi"/>
          <w:b/>
          <w:bCs/>
          <w:sz w:val="28"/>
          <w:szCs w:val="28"/>
        </w:rPr>
        <w:t>N MEMORY OF VINKA MARINOVICH</w:t>
      </w:r>
    </w:p>
    <w:p w14:paraId="74FE34A3" w14:textId="77777777" w:rsidR="002D5321" w:rsidRDefault="002D5321" w:rsidP="001143CB">
      <w:pPr>
        <w:pStyle w:val="NoSpacing"/>
        <w:rPr>
          <w:rFonts w:asciiTheme="minorHAnsi" w:hAnsiTheme="minorHAnsi"/>
          <w:b/>
          <w:szCs w:val="24"/>
        </w:rPr>
      </w:pPr>
    </w:p>
    <w:p w14:paraId="77EA167E" w14:textId="5A54744B" w:rsidR="001143CB" w:rsidRPr="00964FFE" w:rsidRDefault="001143CB" w:rsidP="001143CB">
      <w:pPr>
        <w:pStyle w:val="NoSpacing"/>
        <w:rPr>
          <w:rFonts w:asciiTheme="minorHAnsi" w:hAnsiTheme="minorHAnsi"/>
          <w:b/>
          <w:szCs w:val="24"/>
        </w:rPr>
      </w:pPr>
      <w:r w:rsidRPr="00964FFE">
        <w:rPr>
          <w:rFonts w:asciiTheme="minorHAnsi" w:hAnsiTheme="minorHAnsi"/>
          <w:b/>
          <w:szCs w:val="24"/>
        </w:rPr>
        <w:t>PURPOSE</w:t>
      </w:r>
    </w:p>
    <w:p w14:paraId="6A6DEA50" w14:textId="77777777" w:rsidR="001143CB" w:rsidRDefault="001143CB" w:rsidP="001E26C9">
      <w:pPr>
        <w:spacing w:after="0"/>
        <w:jc w:val="both"/>
        <w:rPr>
          <w:rFonts w:cs="Calibri"/>
        </w:rPr>
      </w:pPr>
      <w:r w:rsidRPr="00C15AE6">
        <w:rPr>
          <w:rFonts w:cs="Calibri"/>
          <w:lang w:val="en-AU"/>
        </w:rPr>
        <w:t xml:space="preserve">These awards arise from a bequest from the Estate of Vinka Marinovich and are to assist women enrolled in the School of Music at the University of Auckland in </w:t>
      </w:r>
      <w:r w:rsidRPr="00C15AE6">
        <w:rPr>
          <w:rFonts w:cs="Calibri"/>
        </w:rPr>
        <w:t>Year 3 of a Bachelor of Music, Bachelor of Music (Honours), Master of Music, Doctor of Music, Doctor of Musical Arts or PhD in Music. Vinka Marinovich had a lifetime involvement in music in the Auckland area, particularly at Auckland Girls’ Grammar School and St Patrick’s Cathedral.</w:t>
      </w:r>
    </w:p>
    <w:p w14:paraId="15C2F9B9" w14:textId="77777777" w:rsidR="001143CB" w:rsidRPr="001143CB" w:rsidRDefault="001143CB" w:rsidP="001143CB">
      <w:pPr>
        <w:spacing w:after="0"/>
        <w:rPr>
          <w:rFonts w:eastAsia="Times New Roman" w:cs="Calibri"/>
          <w:i/>
          <w:iCs/>
          <w:sz w:val="18"/>
          <w:szCs w:val="18"/>
        </w:rPr>
      </w:pPr>
    </w:p>
    <w:p w14:paraId="73F2EEF1" w14:textId="3E46126E" w:rsidR="001143CB" w:rsidRDefault="001143CB" w:rsidP="001143CB">
      <w:pPr>
        <w:spacing w:after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Applicants</w:t>
      </w:r>
      <w:r w:rsidRPr="007C560B">
        <w:rPr>
          <w:rFonts w:asciiTheme="minorHAnsi" w:hAnsiTheme="minorHAnsi"/>
          <w:b/>
        </w:rPr>
        <w:t xml:space="preserve"> MUST apply using </w:t>
      </w:r>
      <w:hyperlink r:id="rId7" w:anchor="/form" w:history="1">
        <w:r w:rsidRPr="001E26C9">
          <w:rPr>
            <w:rStyle w:val="Hyperlink"/>
            <w:rFonts w:asciiTheme="minorHAnsi" w:hAnsiTheme="minorHAnsi"/>
            <w:b/>
          </w:rPr>
          <w:t>the online application form available</w:t>
        </w:r>
      </w:hyperlink>
      <w:r w:rsidRPr="007C560B">
        <w:rPr>
          <w:rFonts w:asciiTheme="minorHAnsi" w:hAnsiTheme="minorHAnsi"/>
          <w:b/>
        </w:rPr>
        <w:t xml:space="preserve"> </w:t>
      </w:r>
      <w:r w:rsidR="001E26C9">
        <w:rPr>
          <w:rFonts w:asciiTheme="minorHAnsi" w:hAnsiTheme="minorHAnsi"/>
          <w:b/>
        </w:rPr>
        <w:t>from the University of Auckland Scholarships Office</w:t>
      </w:r>
      <w:r w:rsidRPr="001E26C9">
        <w:rPr>
          <w:rStyle w:val="Hyperlink"/>
          <w:rFonts w:asciiTheme="minorHAnsi" w:hAnsiTheme="minorHAnsi" w:cs="Arial"/>
          <w:u w:val="none"/>
          <w:shd w:val="clear" w:color="auto" w:fill="FFFFFF"/>
        </w:rPr>
        <w:t>.</w:t>
      </w:r>
      <w:r w:rsidRPr="001E26C9">
        <w:rPr>
          <w:rFonts w:asciiTheme="minorHAnsi" w:hAnsiTheme="minorHAnsi"/>
        </w:rPr>
        <w:t xml:space="preserve"> </w:t>
      </w:r>
    </w:p>
    <w:p w14:paraId="49C5915B" w14:textId="77777777" w:rsidR="001143CB" w:rsidRPr="00C03584" w:rsidRDefault="001143CB" w:rsidP="001143CB">
      <w:pPr>
        <w:spacing w:after="0"/>
        <w:rPr>
          <w:rFonts w:asciiTheme="minorHAnsi" w:hAnsiTheme="minorHAnsi"/>
          <w:b/>
          <w:sz w:val="12"/>
          <w:szCs w:val="12"/>
        </w:rPr>
      </w:pPr>
    </w:p>
    <w:p w14:paraId="3B662900" w14:textId="77B372AB" w:rsidR="001143CB" w:rsidRPr="00CE7456" w:rsidRDefault="001143CB" w:rsidP="001143CB">
      <w:pPr>
        <w:spacing w:after="0"/>
        <w:rPr>
          <w:b/>
        </w:rPr>
      </w:pPr>
      <w:r>
        <w:rPr>
          <w:b/>
        </w:rPr>
        <w:t xml:space="preserve">Closing date: </w:t>
      </w:r>
      <w:r w:rsidR="001E26C9">
        <w:rPr>
          <w:b/>
        </w:rPr>
        <w:t>16</w:t>
      </w:r>
      <w:r w:rsidR="001E26C9" w:rsidRPr="001E26C9">
        <w:rPr>
          <w:b/>
          <w:vertAlign w:val="superscript"/>
        </w:rPr>
        <w:t>th</w:t>
      </w:r>
      <w:r w:rsidR="001E26C9">
        <w:rPr>
          <w:b/>
        </w:rPr>
        <w:t xml:space="preserve"> </w:t>
      </w:r>
      <w:proofErr w:type="gramStart"/>
      <w:r w:rsidR="001E26C9">
        <w:rPr>
          <w:b/>
        </w:rPr>
        <w:t>March,</w:t>
      </w:r>
      <w:proofErr w:type="gramEnd"/>
      <w:r w:rsidR="001E26C9">
        <w:rPr>
          <w:b/>
        </w:rPr>
        <w:t xml:space="preserve"> 2027</w:t>
      </w:r>
    </w:p>
    <w:p w14:paraId="593FAFC7" w14:textId="77777777" w:rsidR="001143CB" w:rsidRPr="00C03584" w:rsidRDefault="001143CB" w:rsidP="001143CB">
      <w:pPr>
        <w:spacing w:after="0"/>
        <w:rPr>
          <w:b/>
          <w:sz w:val="12"/>
          <w:szCs w:val="12"/>
        </w:rPr>
      </w:pPr>
    </w:p>
    <w:p w14:paraId="7B4749C5" w14:textId="77777777" w:rsidR="001143CB" w:rsidRPr="00CE7456" w:rsidRDefault="001143CB" w:rsidP="001143CB">
      <w:pPr>
        <w:spacing w:after="0"/>
        <w:rPr>
          <w:b/>
          <w:szCs w:val="24"/>
        </w:rPr>
      </w:pPr>
      <w:r w:rsidRPr="00CE7456">
        <w:rPr>
          <w:b/>
          <w:szCs w:val="24"/>
        </w:rPr>
        <w:t>REGULATIONS</w:t>
      </w:r>
    </w:p>
    <w:p w14:paraId="425FDDB9" w14:textId="48AAC8DF" w:rsidR="001143CB" w:rsidRDefault="001143CB" w:rsidP="001E26C9">
      <w:pPr>
        <w:pStyle w:val="ListParagraph"/>
        <w:numPr>
          <w:ilvl w:val="0"/>
          <w:numId w:val="3"/>
        </w:numPr>
        <w:spacing w:after="0"/>
        <w:jc w:val="both"/>
      </w:pPr>
      <w:r>
        <w:t>Up to two</w:t>
      </w:r>
      <w:r w:rsidRPr="00CE7456">
        <w:t xml:space="preserve"> Awards of $</w:t>
      </w:r>
      <w:r>
        <w:t>8</w:t>
      </w:r>
      <w:r w:rsidRPr="00CE7456">
        <w:t>,000 will be available for offer annually.</w:t>
      </w:r>
      <w:r>
        <w:t xml:space="preserve"> Award 1 will be for a performance student, including all performance options offered at the School of Music.</w:t>
      </w:r>
      <w:r w:rsidR="001E26C9">
        <w:t xml:space="preserve"> </w:t>
      </w:r>
      <w:r>
        <w:t>Award 2 will include all majors offered in the School of Music, including but not exclusive to performance.</w:t>
      </w:r>
      <w:r w:rsidR="001E26C9">
        <w:t xml:space="preserve"> </w:t>
      </w:r>
      <w:r>
        <w:t>The Award moneys may be used for any purpose aligned to the recipient’s area of study.</w:t>
      </w:r>
    </w:p>
    <w:p w14:paraId="72C9E615" w14:textId="65A00E55" w:rsidR="001143CB" w:rsidRPr="001E26C9" w:rsidRDefault="001143CB" w:rsidP="001E26C9">
      <w:pPr>
        <w:pStyle w:val="ListParagraph"/>
        <w:numPr>
          <w:ilvl w:val="0"/>
          <w:numId w:val="3"/>
        </w:numPr>
        <w:spacing w:after="0"/>
        <w:jc w:val="both"/>
        <w:rPr>
          <w:lang w:val="en-AU"/>
        </w:rPr>
      </w:pPr>
      <w:r w:rsidRPr="001E26C9">
        <w:rPr>
          <w:lang w:val="en-AU"/>
        </w:rPr>
        <w:t xml:space="preserve">Applicants for the </w:t>
      </w:r>
      <w:r w:rsidR="001E26C9">
        <w:rPr>
          <w:lang w:val="en-AU"/>
        </w:rPr>
        <w:t xml:space="preserve">Women </w:t>
      </w:r>
      <w:r w:rsidRPr="001E26C9">
        <w:rPr>
          <w:lang w:val="en-AU"/>
        </w:rPr>
        <w:t xml:space="preserve">in Music </w:t>
      </w:r>
      <w:r w:rsidR="001E26C9">
        <w:rPr>
          <w:lang w:val="en-AU"/>
        </w:rPr>
        <w:t xml:space="preserve">Awards </w:t>
      </w:r>
      <w:r w:rsidRPr="001E26C9">
        <w:rPr>
          <w:lang w:val="en-AU"/>
        </w:rPr>
        <w:t>must be:</w:t>
      </w:r>
    </w:p>
    <w:p w14:paraId="468CB8B4" w14:textId="04D36342" w:rsidR="001143CB" w:rsidRPr="001E26C9" w:rsidRDefault="001143CB" w:rsidP="001E26C9">
      <w:pPr>
        <w:pStyle w:val="ListParagraph"/>
        <w:numPr>
          <w:ilvl w:val="1"/>
          <w:numId w:val="3"/>
        </w:numPr>
        <w:spacing w:after="0"/>
        <w:jc w:val="both"/>
        <w:rPr>
          <w:lang w:val="en-AU"/>
        </w:rPr>
      </w:pPr>
      <w:r w:rsidRPr="001E26C9">
        <w:rPr>
          <w:lang w:val="en-AU"/>
        </w:rPr>
        <w:t>women;</w:t>
      </w:r>
    </w:p>
    <w:p w14:paraId="1F969BA6" w14:textId="50DB4A5B" w:rsidR="001143CB" w:rsidRPr="001E26C9" w:rsidRDefault="001143CB" w:rsidP="001E26C9">
      <w:pPr>
        <w:pStyle w:val="ListParagraph"/>
        <w:numPr>
          <w:ilvl w:val="1"/>
          <w:numId w:val="3"/>
        </w:numPr>
        <w:spacing w:after="0"/>
        <w:jc w:val="both"/>
        <w:rPr>
          <w:lang w:val="en-AU"/>
        </w:rPr>
      </w:pPr>
      <w:r w:rsidRPr="001E26C9">
        <w:rPr>
          <w:lang w:val="en-AU"/>
        </w:rPr>
        <w:t xml:space="preserve">New Zealand Citizens or </w:t>
      </w:r>
      <w:r w:rsidRPr="001E26C9">
        <w:rPr>
          <w:b/>
          <w:lang w:val="en-AU"/>
        </w:rPr>
        <w:t>Permanent</w:t>
      </w:r>
      <w:r w:rsidRPr="001E26C9">
        <w:rPr>
          <w:lang w:val="en-AU"/>
        </w:rPr>
        <w:t xml:space="preserve"> Residents; </w:t>
      </w:r>
    </w:p>
    <w:p w14:paraId="6FDDE301" w14:textId="4852C299" w:rsidR="001143CB" w:rsidRPr="0063685B" w:rsidRDefault="001143CB" w:rsidP="001E26C9">
      <w:pPr>
        <w:pStyle w:val="ListParagraph"/>
        <w:numPr>
          <w:ilvl w:val="1"/>
          <w:numId w:val="3"/>
        </w:numPr>
        <w:spacing w:after="0"/>
        <w:jc w:val="both"/>
      </w:pPr>
      <w:r w:rsidRPr="00CE7456">
        <w:t>Preparing to enrol full</w:t>
      </w:r>
      <w:r w:rsidR="001E26C9">
        <w:t>-</w:t>
      </w:r>
      <w:r w:rsidRPr="00CE7456">
        <w:t>time</w:t>
      </w:r>
      <w:r w:rsidR="009E1CA9">
        <w:t>*</w:t>
      </w:r>
      <w:r w:rsidRPr="00CE7456">
        <w:t xml:space="preserve"> in </w:t>
      </w:r>
      <w:r>
        <w:t xml:space="preserve">Year III or higher (Masters or </w:t>
      </w:r>
      <w:r w:rsidR="001E26C9">
        <w:t>Doctorate) at</w:t>
      </w:r>
      <w:r>
        <w:t xml:space="preserve"> the School of Music</w:t>
      </w:r>
      <w:r w:rsidR="001E26C9">
        <w:t>.</w:t>
      </w:r>
    </w:p>
    <w:p w14:paraId="2E5A83F1" w14:textId="3823F3E9" w:rsidR="001143CB" w:rsidRPr="001E26C9" w:rsidRDefault="001143CB" w:rsidP="001E26C9">
      <w:pPr>
        <w:pStyle w:val="ListParagraph"/>
        <w:numPr>
          <w:ilvl w:val="0"/>
          <w:numId w:val="3"/>
        </w:numPr>
        <w:spacing w:after="0"/>
        <w:jc w:val="both"/>
        <w:rPr>
          <w:lang w:val="en-AU"/>
        </w:rPr>
      </w:pPr>
      <w:r w:rsidRPr="001E26C9">
        <w:rPr>
          <w:lang w:val="en-AU"/>
        </w:rPr>
        <w:t xml:space="preserve">In making these awards, the selection committee shall </w:t>
      </w:r>
      <w:proofErr w:type="gramStart"/>
      <w:r w:rsidRPr="001E26C9">
        <w:rPr>
          <w:lang w:val="en-AU"/>
        </w:rPr>
        <w:t>give consideration to</w:t>
      </w:r>
      <w:proofErr w:type="gramEnd"/>
      <w:r w:rsidRPr="001E26C9">
        <w:rPr>
          <w:lang w:val="en-AU"/>
        </w:rPr>
        <w:t>:</w:t>
      </w:r>
    </w:p>
    <w:p w14:paraId="618481A6" w14:textId="004C4F1D" w:rsidR="001143CB" w:rsidRPr="001E26C9" w:rsidRDefault="001143CB" w:rsidP="001E26C9">
      <w:pPr>
        <w:pStyle w:val="ListParagraph"/>
        <w:numPr>
          <w:ilvl w:val="1"/>
          <w:numId w:val="3"/>
        </w:numPr>
        <w:spacing w:after="0"/>
        <w:jc w:val="both"/>
        <w:rPr>
          <w:lang w:val="en-AU"/>
        </w:rPr>
      </w:pPr>
      <w:r w:rsidRPr="001E26C9">
        <w:rPr>
          <w:lang w:val="en-AU"/>
        </w:rPr>
        <w:t xml:space="preserve">the applicant’s academic record; (for the purpose of this award, academic merit will be assessed from the </w:t>
      </w:r>
      <w:proofErr w:type="gramStart"/>
      <w:r w:rsidRPr="001E26C9">
        <w:rPr>
          <w:lang w:val="en-AU"/>
        </w:rPr>
        <w:t>GPA  or</w:t>
      </w:r>
      <w:proofErr w:type="gramEnd"/>
      <w:r w:rsidRPr="001E26C9">
        <w:rPr>
          <w:lang w:val="en-AU"/>
        </w:rPr>
        <w:t xml:space="preserve"> GPE obtained over the applicant’s most recent two years of graded study (or equivalent));</w:t>
      </w:r>
    </w:p>
    <w:p w14:paraId="336EB9FD" w14:textId="2E36E999" w:rsidR="001143CB" w:rsidRPr="001E26C9" w:rsidRDefault="001143CB" w:rsidP="001E26C9">
      <w:pPr>
        <w:pStyle w:val="ListParagraph"/>
        <w:numPr>
          <w:ilvl w:val="1"/>
          <w:numId w:val="3"/>
        </w:numPr>
        <w:spacing w:after="0"/>
        <w:jc w:val="both"/>
        <w:rPr>
          <w:lang w:val="en-AU"/>
        </w:rPr>
      </w:pPr>
      <w:r w:rsidRPr="001E26C9">
        <w:rPr>
          <w:lang w:val="en-AU"/>
        </w:rPr>
        <w:t>the applicant’s referees’ reports;</w:t>
      </w:r>
    </w:p>
    <w:p w14:paraId="39E1DBFA" w14:textId="28FE2278" w:rsidR="001143CB" w:rsidRPr="001E26C9" w:rsidRDefault="001143CB" w:rsidP="001E26C9">
      <w:pPr>
        <w:pStyle w:val="ListParagraph"/>
        <w:numPr>
          <w:ilvl w:val="1"/>
          <w:numId w:val="3"/>
        </w:numPr>
        <w:spacing w:after="0"/>
        <w:jc w:val="both"/>
        <w:rPr>
          <w:lang w:val="en-AU"/>
        </w:rPr>
      </w:pPr>
      <w:r w:rsidRPr="001E26C9">
        <w:rPr>
          <w:lang w:val="en-AU"/>
        </w:rPr>
        <w:t>the applicant’s need for financial assistance;</w:t>
      </w:r>
    </w:p>
    <w:p w14:paraId="28C0E116" w14:textId="7A65A00A" w:rsidR="001143CB" w:rsidRPr="001E26C9" w:rsidRDefault="001143CB" w:rsidP="001E26C9">
      <w:pPr>
        <w:pStyle w:val="ListParagraph"/>
        <w:numPr>
          <w:ilvl w:val="1"/>
          <w:numId w:val="3"/>
        </w:numPr>
        <w:spacing w:after="0"/>
        <w:jc w:val="both"/>
        <w:rPr>
          <w:lang w:val="en-AU"/>
        </w:rPr>
      </w:pPr>
      <w:r w:rsidRPr="001E26C9">
        <w:rPr>
          <w:lang w:val="en-AU"/>
        </w:rPr>
        <w:t>the applicant’s aspirations for the future;</w:t>
      </w:r>
    </w:p>
    <w:p w14:paraId="0A87C59D" w14:textId="5BE584CB" w:rsidR="001143CB" w:rsidRPr="0063685B" w:rsidRDefault="001143CB" w:rsidP="001E26C9">
      <w:pPr>
        <w:pStyle w:val="ListParagraph"/>
        <w:numPr>
          <w:ilvl w:val="1"/>
          <w:numId w:val="3"/>
        </w:numPr>
        <w:spacing w:after="0"/>
        <w:jc w:val="both"/>
      </w:pPr>
      <w:r w:rsidRPr="00CE7456">
        <w:t>any special circumstances</w:t>
      </w:r>
      <w:r>
        <w:t>,</w:t>
      </w:r>
      <w:r w:rsidRPr="00CE7456">
        <w:t xml:space="preserve"> e.g. family responsibilities, personal disability, considered relevant.</w:t>
      </w:r>
    </w:p>
    <w:p w14:paraId="15B4C97E" w14:textId="795AC9C8" w:rsidR="001143CB" w:rsidRPr="001E26C9" w:rsidRDefault="001143CB" w:rsidP="001E26C9">
      <w:pPr>
        <w:pStyle w:val="ListParagraph"/>
        <w:numPr>
          <w:ilvl w:val="0"/>
          <w:numId w:val="3"/>
        </w:numPr>
        <w:spacing w:after="0"/>
        <w:jc w:val="both"/>
        <w:rPr>
          <w:lang w:val="en-AU"/>
        </w:rPr>
      </w:pPr>
      <w:r w:rsidRPr="001E26C9">
        <w:rPr>
          <w:lang w:val="en-AU"/>
        </w:rPr>
        <w:t xml:space="preserve">Each application for these awards must include the names of two academic referees from whom a confidential reference may be sought. </w:t>
      </w:r>
    </w:p>
    <w:p w14:paraId="53A295C1" w14:textId="2C3E7059" w:rsidR="001143CB" w:rsidRPr="001E26C9" w:rsidRDefault="001143CB" w:rsidP="001E26C9">
      <w:pPr>
        <w:pStyle w:val="ListParagraph"/>
        <w:numPr>
          <w:ilvl w:val="0"/>
          <w:numId w:val="3"/>
        </w:numPr>
        <w:spacing w:after="0"/>
        <w:jc w:val="both"/>
        <w:rPr>
          <w:lang w:val="en-AU"/>
        </w:rPr>
      </w:pPr>
      <w:r w:rsidRPr="001E26C9">
        <w:rPr>
          <w:lang w:val="en-AU"/>
        </w:rPr>
        <w:t>These awards may be held concurrently with an award of equal or higher value if the regulations for that award so permit.</w:t>
      </w:r>
    </w:p>
    <w:p w14:paraId="1F57E2AF" w14:textId="65DAC96A" w:rsidR="001143CB" w:rsidRPr="001E26C9" w:rsidRDefault="001143CB" w:rsidP="001E26C9">
      <w:pPr>
        <w:pStyle w:val="ListParagraph"/>
        <w:numPr>
          <w:ilvl w:val="0"/>
          <w:numId w:val="3"/>
        </w:numPr>
        <w:spacing w:after="0"/>
        <w:jc w:val="both"/>
        <w:rPr>
          <w:lang w:val="en-AU"/>
        </w:rPr>
      </w:pPr>
      <w:r w:rsidRPr="001E26C9">
        <w:rPr>
          <w:lang w:val="en-AU"/>
        </w:rPr>
        <w:t xml:space="preserve">The </w:t>
      </w:r>
      <w:r w:rsidR="001E26C9">
        <w:rPr>
          <w:lang w:val="en-AU"/>
        </w:rPr>
        <w:t>Women</w:t>
      </w:r>
      <w:r w:rsidRPr="001E26C9">
        <w:rPr>
          <w:lang w:val="en-AU"/>
        </w:rPr>
        <w:t xml:space="preserve"> in Music</w:t>
      </w:r>
      <w:r w:rsidR="001E26C9">
        <w:rPr>
          <w:lang w:val="en-AU"/>
        </w:rPr>
        <w:t xml:space="preserve"> Awards</w:t>
      </w:r>
      <w:r w:rsidRPr="001E26C9">
        <w:rPr>
          <w:lang w:val="en-AU"/>
        </w:rPr>
        <w:t xml:space="preserve"> shall be paid in one instalment on presentation of proof of enrolment as a full</w:t>
      </w:r>
      <w:r w:rsidR="001E26C9">
        <w:rPr>
          <w:lang w:val="en-AU"/>
        </w:rPr>
        <w:t>-</w:t>
      </w:r>
      <w:r w:rsidRPr="001E26C9">
        <w:rPr>
          <w:lang w:val="en-AU"/>
        </w:rPr>
        <w:t xml:space="preserve">time Year III or </w:t>
      </w:r>
      <w:proofErr w:type="gramStart"/>
      <w:r w:rsidRPr="001E26C9">
        <w:rPr>
          <w:lang w:val="en-AU"/>
        </w:rPr>
        <w:t>higher level</w:t>
      </w:r>
      <w:proofErr w:type="gramEnd"/>
      <w:r w:rsidRPr="001E26C9">
        <w:rPr>
          <w:lang w:val="en-AU"/>
        </w:rPr>
        <w:t xml:space="preserve"> student in the School of Music at the University of Auckland.</w:t>
      </w:r>
    </w:p>
    <w:p w14:paraId="09A017B0" w14:textId="3CAF3137" w:rsidR="001143CB" w:rsidRPr="001E26C9" w:rsidRDefault="001143CB" w:rsidP="001E26C9">
      <w:pPr>
        <w:pStyle w:val="ListParagraph"/>
        <w:numPr>
          <w:ilvl w:val="0"/>
          <w:numId w:val="3"/>
        </w:numPr>
        <w:spacing w:after="0"/>
        <w:jc w:val="both"/>
        <w:rPr>
          <w:lang w:val="en-AU"/>
        </w:rPr>
      </w:pPr>
      <w:r w:rsidRPr="001E26C9">
        <w:rPr>
          <w:lang w:val="en-AU"/>
        </w:rPr>
        <w:t>The successful applicant is required to complete her year of study and make a brief report at the end of this study.  Failure to complete two full consecutive semesters will require refund of the full value of the award.</w:t>
      </w:r>
    </w:p>
    <w:p w14:paraId="5DB972AF" w14:textId="417F0AFF" w:rsidR="001143CB" w:rsidRDefault="001143CB" w:rsidP="001E26C9">
      <w:pPr>
        <w:spacing w:after="0"/>
        <w:jc w:val="both"/>
        <w:rPr>
          <w:b/>
          <w:sz w:val="18"/>
          <w:szCs w:val="18"/>
        </w:rPr>
      </w:pPr>
    </w:p>
    <w:p w14:paraId="3C2D1B03" w14:textId="259519D7" w:rsidR="009E1CA9" w:rsidRPr="008151D6" w:rsidRDefault="009E1CA9" w:rsidP="001E26C9">
      <w:pPr>
        <w:spacing w:after="0"/>
        <w:jc w:val="both"/>
        <w:rPr>
          <w:rFonts w:asciiTheme="minorHAnsi" w:hAnsiTheme="minorHAnsi" w:cstheme="minorHAnsi"/>
          <w:iCs/>
          <w:color w:val="222222"/>
          <w:shd w:val="clear" w:color="auto" w:fill="FFFFFF"/>
        </w:rPr>
      </w:pPr>
      <w:r>
        <w:rPr>
          <w:rFonts w:asciiTheme="minorHAnsi" w:hAnsiTheme="minorHAnsi" w:cstheme="minorHAnsi"/>
          <w:iCs/>
          <w:color w:val="222222"/>
          <w:shd w:val="clear" w:color="auto" w:fill="FFFFFF"/>
        </w:rPr>
        <w:t>*</w:t>
      </w:r>
      <w:r w:rsidRPr="008151D6">
        <w:rPr>
          <w:rFonts w:asciiTheme="minorHAnsi" w:hAnsiTheme="minorHAnsi" w:cstheme="minorHAnsi"/>
          <w:iCs/>
          <w:color w:val="222222"/>
          <w:shd w:val="clear" w:color="auto" w:fill="FFFFFF"/>
        </w:rPr>
        <w:t xml:space="preserve">This scholarship is intended for students studying full-time towards a qualification. The Trustees understand that personal circumstances such as health conditions or impairments can limit a person’s </w:t>
      </w:r>
      <w:r w:rsidRPr="008151D6">
        <w:rPr>
          <w:rFonts w:asciiTheme="minorHAnsi" w:hAnsiTheme="minorHAnsi" w:cstheme="minorHAnsi"/>
          <w:iCs/>
          <w:color w:val="222222"/>
          <w:shd w:val="clear" w:color="auto" w:fill="FFFFFF"/>
        </w:rPr>
        <w:lastRenderedPageBreak/>
        <w:t>ability to study full-time. Applications from students studying part-time due to disability will be therefore considered, but the applicant must include documentation supporting their reason for studying part-time. Examples of supporting documents include a letter of support from a disability service provider, the Students with Disabilities office, or your general practitioner. Students studying part-time due to disability who are successful in their application will be paid a pro-rata amount. For the purposes of this Award, a disability refers to both visible and invisible impairments including: blind and low vision, deaf and hearing impaired, head injury, ongoing medical conditions, diagnosed mental health conditions, physical/mobility impairments, speech impairments, Autism Spectrum Disorder, specific learning disabilities (e.g. dyslexia, dyspraxia, dyscalculia).</w:t>
      </w:r>
    </w:p>
    <w:p w14:paraId="41D5A524" w14:textId="77777777" w:rsidR="009E1CA9" w:rsidRPr="001143CB" w:rsidRDefault="009E1CA9" w:rsidP="001143CB">
      <w:pPr>
        <w:spacing w:after="0"/>
        <w:rPr>
          <w:b/>
          <w:sz w:val="18"/>
          <w:szCs w:val="18"/>
        </w:rPr>
      </w:pPr>
    </w:p>
    <w:p w14:paraId="2E7182CF" w14:textId="77777777" w:rsidR="001143CB" w:rsidRPr="00CE7456" w:rsidRDefault="001143CB" w:rsidP="001143CB">
      <w:pPr>
        <w:spacing w:after="0"/>
        <w:rPr>
          <w:b/>
          <w:szCs w:val="24"/>
        </w:rPr>
      </w:pPr>
      <w:r w:rsidRPr="00CE7456">
        <w:rPr>
          <w:b/>
          <w:szCs w:val="24"/>
        </w:rPr>
        <w:t>ENQUIRIES</w:t>
      </w:r>
    </w:p>
    <w:p w14:paraId="7F75308C" w14:textId="648E0161" w:rsidR="001143CB" w:rsidRDefault="001143CB" w:rsidP="001143CB">
      <w:pPr>
        <w:spacing w:after="0"/>
        <w:rPr>
          <w:u w:val="single"/>
        </w:rPr>
      </w:pPr>
      <w:r w:rsidRPr="007055D5">
        <w:t xml:space="preserve">Enquiries to: </w:t>
      </w:r>
      <w:hyperlink r:id="rId8" w:history="1">
        <w:r w:rsidR="001E26C9" w:rsidRPr="003F5C1D">
          <w:rPr>
            <w:rStyle w:val="Hyperlink"/>
          </w:rPr>
          <w:t>scholarships@auckland.ac.nz</w:t>
        </w:r>
      </w:hyperlink>
      <w:r w:rsidR="001E26C9">
        <w:t xml:space="preserve"> </w:t>
      </w:r>
    </w:p>
    <w:p w14:paraId="0A1E201D" w14:textId="77777777" w:rsidR="002D5321" w:rsidRDefault="002D5321" w:rsidP="001143CB">
      <w:pPr>
        <w:spacing w:after="0"/>
      </w:pPr>
    </w:p>
    <w:p w14:paraId="7A0728F0" w14:textId="01606931" w:rsidR="001143CB" w:rsidRDefault="001143CB" w:rsidP="001143CB">
      <w:pPr>
        <w:spacing w:after="0"/>
      </w:pPr>
      <w:r w:rsidRPr="001143CB">
        <w:rPr>
          <w:b/>
        </w:rPr>
        <w:t xml:space="preserve">Closing date: </w:t>
      </w:r>
      <w:r w:rsidR="001E26C9">
        <w:rPr>
          <w:b/>
        </w:rPr>
        <w:t>16</w:t>
      </w:r>
      <w:r w:rsidR="001E26C9" w:rsidRPr="001E26C9">
        <w:rPr>
          <w:b/>
          <w:vertAlign w:val="superscript"/>
        </w:rPr>
        <w:t>th</w:t>
      </w:r>
      <w:r w:rsidR="001E26C9">
        <w:rPr>
          <w:b/>
        </w:rPr>
        <w:t xml:space="preserve"> </w:t>
      </w:r>
      <w:proofErr w:type="gramStart"/>
      <w:r w:rsidR="001E26C9">
        <w:rPr>
          <w:b/>
        </w:rPr>
        <w:t>March,</w:t>
      </w:r>
      <w:proofErr w:type="gramEnd"/>
      <w:r w:rsidR="001E26C9">
        <w:rPr>
          <w:b/>
        </w:rPr>
        <w:t xml:space="preserve"> 2027</w:t>
      </w:r>
    </w:p>
    <w:sectPr w:rsidR="001143CB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0E853" w14:textId="77777777" w:rsidR="00085868" w:rsidRDefault="00085868" w:rsidP="002D5321">
      <w:pPr>
        <w:spacing w:after="0"/>
      </w:pPr>
      <w:r>
        <w:separator/>
      </w:r>
    </w:p>
  </w:endnote>
  <w:endnote w:type="continuationSeparator" w:id="0">
    <w:p w14:paraId="1E576CC0" w14:textId="77777777" w:rsidR="00085868" w:rsidRDefault="00085868" w:rsidP="002D53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7462C" w14:textId="67123397" w:rsidR="000A198B" w:rsidRPr="000A198B" w:rsidRDefault="000A198B">
    <w:pPr>
      <w:pStyle w:val="Footer"/>
      <w:rPr>
        <w:b/>
        <w:bCs/>
      </w:rPr>
    </w:pPr>
    <w:r w:rsidRPr="000A198B">
      <w:rPr>
        <w:b/>
        <w:bCs/>
      </w:rPr>
      <w:t xml:space="preserve">This award is funded through a </w:t>
    </w:r>
    <w:r w:rsidRPr="000A198B">
      <w:rPr>
        <w:b/>
        <w:bCs/>
        <w:lang w:val="en-AU"/>
      </w:rPr>
      <w:t>bequest from the Estate of Vinka Marinovich</w:t>
    </w:r>
    <w:r w:rsidRPr="000A198B">
      <w:rPr>
        <w:b/>
        <w:bCs/>
        <w:lang w:val="en-AU"/>
      </w:rPr>
      <w:tab/>
      <w:t>March 202</w:t>
    </w:r>
    <w:r w:rsidR="001E26C9">
      <w:rPr>
        <w:b/>
        <w:bCs/>
        <w:lang w:val="en-AU"/>
      </w:rPr>
      <w:t>7</w:t>
    </w:r>
  </w:p>
  <w:p w14:paraId="2304AB65" w14:textId="77777777" w:rsidR="000A198B" w:rsidRDefault="000A19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B56A8" w14:textId="77777777" w:rsidR="00085868" w:rsidRDefault="00085868" w:rsidP="002D5321">
      <w:pPr>
        <w:spacing w:after="0"/>
      </w:pPr>
      <w:r>
        <w:separator/>
      </w:r>
    </w:p>
  </w:footnote>
  <w:footnote w:type="continuationSeparator" w:id="0">
    <w:p w14:paraId="17C648CC" w14:textId="77777777" w:rsidR="00085868" w:rsidRDefault="00085868" w:rsidP="002D532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81B0D" w14:textId="1129B4B1" w:rsidR="002D5321" w:rsidRDefault="002D5321" w:rsidP="002D5321">
    <w:pPr>
      <w:pStyle w:val="Header"/>
      <w:jc w:val="center"/>
    </w:pPr>
    <w:r>
      <w:rPr>
        <w:noProof/>
      </w:rPr>
      <w:drawing>
        <wp:inline distT="0" distB="0" distL="0" distR="0" wp14:anchorId="106513A3" wp14:editId="20CA6408">
          <wp:extent cx="2530874" cy="1084580"/>
          <wp:effectExtent l="0" t="0" r="3175" b="1270"/>
          <wp:docPr id="1613304995" name="Picture 1" descr="A logo for a foundati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304995" name="Picture 1" descr="A logo for a foundatio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1688" cy="10892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4ADB13" w14:textId="77777777" w:rsidR="002D5321" w:rsidRDefault="002D53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128E4"/>
    <w:multiLevelType w:val="hybridMultilevel"/>
    <w:tmpl w:val="9AF0737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DE3A0896">
      <w:start w:val="1"/>
      <w:numFmt w:val="lowerLetter"/>
      <w:lvlText w:val="%2)"/>
      <w:lvlJc w:val="left"/>
      <w:pPr>
        <w:ind w:left="1450" w:hanging="370"/>
      </w:pPr>
      <w:rPr>
        <w:rFonts w:hint="default"/>
      </w:r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292A61"/>
    <w:multiLevelType w:val="hybridMultilevel"/>
    <w:tmpl w:val="1B54EDF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043405"/>
    <w:multiLevelType w:val="hybridMultilevel"/>
    <w:tmpl w:val="D02CCE2E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71974188">
    <w:abstractNumId w:val="1"/>
  </w:num>
  <w:num w:numId="2" w16cid:durableId="428354628">
    <w:abstractNumId w:val="0"/>
  </w:num>
  <w:num w:numId="3" w16cid:durableId="16820101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3CB"/>
    <w:rsid w:val="00085868"/>
    <w:rsid w:val="000A198B"/>
    <w:rsid w:val="001143CB"/>
    <w:rsid w:val="001E26C9"/>
    <w:rsid w:val="00296FBE"/>
    <w:rsid w:val="002D5321"/>
    <w:rsid w:val="0034552E"/>
    <w:rsid w:val="003A6044"/>
    <w:rsid w:val="003E48B0"/>
    <w:rsid w:val="00456448"/>
    <w:rsid w:val="007C4749"/>
    <w:rsid w:val="0085327C"/>
    <w:rsid w:val="009E1CA9"/>
    <w:rsid w:val="00A6445D"/>
    <w:rsid w:val="00AC2477"/>
    <w:rsid w:val="00C21AE7"/>
    <w:rsid w:val="00C26E83"/>
    <w:rsid w:val="00F1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493898"/>
  <w15:chartTrackingRefBased/>
  <w15:docId w15:val="{432EFC6E-2F1A-48E2-A82A-07C961ACD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3CB"/>
    <w:pPr>
      <w:spacing w:after="120" w:line="240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qFormat/>
    <w:rsid w:val="001143CB"/>
    <w:pPr>
      <w:keepNext/>
      <w:keepLines/>
      <w:spacing w:before="200" w:after="0"/>
      <w:outlineLvl w:val="1"/>
    </w:pPr>
    <w:rPr>
      <w:rFonts w:eastAsia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143CB"/>
    <w:rPr>
      <w:rFonts w:ascii="Calibri" w:eastAsia="Times New Roman" w:hAnsi="Calibri" w:cs="Times New Roman"/>
      <w:b/>
      <w:bCs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1143CB"/>
    <w:rPr>
      <w:color w:val="0000FF"/>
      <w:u w:val="single"/>
    </w:rPr>
  </w:style>
  <w:style w:type="paragraph" w:styleId="NoSpacing">
    <w:name w:val="No Spacing"/>
    <w:uiPriority w:val="1"/>
    <w:qFormat/>
    <w:rsid w:val="001143CB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E48B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C474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D532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D532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D532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D5321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1E26C9"/>
    <w:pPr>
      <w:ind w:left="720"/>
      <w:contextualSpacing/>
    </w:pPr>
  </w:style>
  <w:style w:type="paragraph" w:styleId="Revision">
    <w:name w:val="Revision"/>
    <w:hidden/>
    <w:uiPriority w:val="99"/>
    <w:semiHidden/>
    <w:rsid w:val="001E26C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larships@auckland.ac.n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uckland.ac.nz/en/for/current-students/cs-scholarships-and-awards/cs-search-for-scholarships-and-awards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585</Words>
  <Characters>3200</Characters>
  <Application>Microsoft Office Word</Application>
  <DocSecurity>0</DocSecurity>
  <Lines>64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Ford</dc:creator>
  <cp:keywords/>
  <dc:description/>
  <cp:lastModifiedBy>Awards Kate Edger Foundation</cp:lastModifiedBy>
  <cp:revision>6</cp:revision>
  <dcterms:created xsi:type="dcterms:W3CDTF">2024-09-19T01:54:00Z</dcterms:created>
  <dcterms:modified xsi:type="dcterms:W3CDTF">2026-06-08T04:38:00Z</dcterms:modified>
</cp:coreProperties>
</file>